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«Детская школа </w:t>
      </w:r>
      <w:r w:rsidR="00EF36C0">
        <w:rPr>
          <w:rFonts w:ascii="Times New Roman" w:hAnsi="Times New Roman"/>
          <w:sz w:val="24"/>
          <w:szCs w:val="24"/>
          <w:u w:val="single"/>
        </w:rPr>
        <w:t xml:space="preserve">искусств </w:t>
      </w:r>
      <w:r w:rsidRPr="00211169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9E4395">
        <w:rPr>
          <w:rFonts w:ascii="Times New Roman" w:hAnsi="Times New Roman"/>
          <w:sz w:val="24"/>
          <w:szCs w:val="24"/>
          <w:u w:val="single"/>
        </w:rPr>
        <w:t>3</w:t>
      </w:r>
      <w:r w:rsidRPr="00211169">
        <w:rPr>
          <w:rFonts w:ascii="Times New Roman" w:hAnsi="Times New Roman"/>
          <w:sz w:val="24"/>
          <w:szCs w:val="24"/>
          <w:u w:val="single"/>
        </w:rPr>
        <w:t>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BD4E0F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F9675E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F87D4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</w:t>
            </w:r>
            <w:r w:rsidR="00F87D4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B073F9" w:rsidP="00B073F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</w:t>
            </w:r>
            <w:r w:rsidR="00443BE6">
              <w:rPr>
                <w:rFonts w:ascii="Times New Roman" w:hAnsi="Times New Roman"/>
                <w:sz w:val="16"/>
                <w:szCs w:val="16"/>
              </w:rPr>
              <w:t xml:space="preserve"> образовательных программ</w:t>
            </w:r>
            <w:r>
              <w:rPr>
                <w:rFonts w:ascii="Times New Roman" w:hAnsi="Times New Roman"/>
                <w:sz w:val="16"/>
                <w:szCs w:val="16"/>
              </w:rPr>
              <w:t>, список обучающихся.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9E4395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9E439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ABF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Default="00131ABF">
            <w:r w:rsidRPr="0074243D">
              <w:rPr>
                <w:rFonts w:ascii="Times New Roman" w:hAnsi="Times New Roman"/>
                <w:sz w:val="16"/>
                <w:szCs w:val="16"/>
              </w:rPr>
              <w:t>14925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F" w:rsidRDefault="00131ABF">
            <w:r w:rsidRPr="0074243D">
              <w:rPr>
                <w:rFonts w:ascii="Times New Roman" w:hAnsi="Times New Roman"/>
                <w:sz w:val="16"/>
                <w:szCs w:val="16"/>
              </w:rPr>
              <w:t>14925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BF" w:rsidRPr="00211169" w:rsidRDefault="00131AB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395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73376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3F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9E439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3306A4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9" w:rsidRPr="00211169" w:rsidRDefault="00B073F9" w:rsidP="003306A4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073F9" w:rsidRDefault="00B073F9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B073F9" w:rsidRPr="00211169" w:rsidRDefault="00B073F9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</w:t>
            </w:r>
            <w:r w:rsidR="00443BE6">
              <w:rPr>
                <w:rFonts w:ascii="Times New Roman" w:hAnsi="Times New Roman"/>
                <w:sz w:val="16"/>
                <w:szCs w:val="16"/>
              </w:rPr>
              <w:t xml:space="preserve"> образовательных программ</w:t>
            </w:r>
            <w:r>
              <w:rPr>
                <w:rFonts w:ascii="Times New Roman" w:hAnsi="Times New Roman"/>
                <w:sz w:val="16"/>
                <w:szCs w:val="16"/>
              </w:rPr>
              <w:t>, список обучающихся.</w:t>
            </w:r>
          </w:p>
          <w:p w:rsidR="00B073F9" w:rsidRPr="00211169" w:rsidRDefault="00B073F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1333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15134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1333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3" w:rsidRPr="00211169" w:rsidRDefault="009213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333" w:rsidRPr="00211169" w:rsidRDefault="009213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РФ,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559"/>
        <w:gridCol w:w="1418"/>
        <w:gridCol w:w="3402"/>
      </w:tblGrid>
      <w:tr w:rsidR="00211169" w:rsidRPr="00211169" w:rsidTr="009A463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1D537F" w:rsidRPr="00211169" w:rsidTr="000A0D5E">
        <w:trPr>
          <w:trHeight w:val="205"/>
        </w:trPr>
        <w:tc>
          <w:tcPr>
            <w:tcW w:w="15026" w:type="dxa"/>
            <w:gridSpan w:val="7"/>
            <w:tcBorders>
              <w:top w:val="single" w:sz="4" w:space="0" w:color="auto"/>
            </w:tcBorders>
          </w:tcPr>
          <w:p w:rsidR="001D537F" w:rsidRPr="00211169" w:rsidRDefault="001D537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9A4631" w:rsidRPr="00211169" w:rsidTr="009A4631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9A4631" w:rsidRPr="00211169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</w:tc>
      </w:tr>
      <w:tr w:rsidR="009A4631" w:rsidRPr="00211169" w:rsidTr="009A4631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131ABF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4631" w:rsidRPr="00211169" w:rsidTr="009A4631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4631" w:rsidRPr="00211169" w:rsidRDefault="009A4631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77CF" w:rsidRDefault="00B077CF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559"/>
        <w:gridCol w:w="1418"/>
        <w:gridCol w:w="3402"/>
      </w:tblGrid>
      <w:tr w:rsidR="00211169" w:rsidRPr="00211169" w:rsidTr="009A463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77CF" w:rsidRDefault="00B077C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9E4395" w:rsidRPr="00211169" w:rsidTr="009A4631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F04B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95" w:rsidRPr="00211169" w:rsidRDefault="009E439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9A4631" w:rsidRPr="00F57AB0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9E4395" w:rsidRPr="00211169" w:rsidRDefault="009A4631" w:rsidP="009A463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BD7D1B" w:rsidRPr="00211169" w:rsidTr="009A4631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D1B" w:rsidRPr="00211169" w:rsidTr="009A4631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7D1B" w:rsidRPr="00211169" w:rsidRDefault="00BD7D1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C52FD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9C52FD" w:rsidRPr="00364C13" w:rsidRDefault="009C52FD" w:rsidP="009C52FD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9C52FD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Pr="00AF67D9">
        <w:rPr>
          <w:rFonts w:ascii="Times New Roman" w:hAnsi="Times New Roman"/>
          <w:sz w:val="16"/>
          <w:szCs w:val="16"/>
        </w:rPr>
        <w:t>;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9C52FD" w:rsidRDefault="009C52FD" w:rsidP="009C52FD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9C52FD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выполнением муниципального задания осуществляется в форме камеральных и выездных проверок по плану, утвержденному Учредителем</w:t>
      </w:r>
    </w:p>
    <w:p w:rsidR="009C52FD" w:rsidRPr="00FB217B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учреждение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9C52FD" w:rsidRPr="00FB217B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Pr="00FB217B">
        <w:rPr>
          <w:rFonts w:ascii="Times New Roman" w:hAnsi="Times New Roman"/>
          <w:i/>
          <w:sz w:val="16"/>
          <w:szCs w:val="16"/>
        </w:rPr>
        <w:t>-  учебные планы по образовательным программам;</w:t>
      </w:r>
    </w:p>
    <w:p w:rsidR="009C52FD" w:rsidRPr="00FB217B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9C52FD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>
        <w:rPr>
          <w:rFonts w:ascii="Times New Roman" w:hAnsi="Times New Roman"/>
          <w:i/>
          <w:sz w:val="16"/>
          <w:szCs w:val="16"/>
        </w:rPr>
        <w:t>;</w:t>
      </w:r>
    </w:p>
    <w:p w:rsidR="009C52FD" w:rsidRPr="00FB217B" w:rsidRDefault="009C52FD" w:rsidP="009C52FD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9C52FD" w:rsidRPr="00AF67D9" w:rsidRDefault="009C52FD" w:rsidP="009C52FD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9C52FD" w:rsidRPr="00AF67D9" w:rsidRDefault="009C52FD" w:rsidP="009C52FD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9C52FD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04720C"/>
    <w:rsid w:val="0007609F"/>
    <w:rsid w:val="000A0D5E"/>
    <w:rsid w:val="00101F1D"/>
    <w:rsid w:val="00131ABF"/>
    <w:rsid w:val="001D537F"/>
    <w:rsid w:val="00211169"/>
    <w:rsid w:val="002A32C6"/>
    <w:rsid w:val="0036540E"/>
    <w:rsid w:val="00393F87"/>
    <w:rsid w:val="003D36BB"/>
    <w:rsid w:val="003F65B1"/>
    <w:rsid w:val="00443BE6"/>
    <w:rsid w:val="004876AA"/>
    <w:rsid w:val="004D02D3"/>
    <w:rsid w:val="004F76DF"/>
    <w:rsid w:val="005926D6"/>
    <w:rsid w:val="00600BF2"/>
    <w:rsid w:val="0064692D"/>
    <w:rsid w:val="00671B98"/>
    <w:rsid w:val="00733763"/>
    <w:rsid w:val="0079605A"/>
    <w:rsid w:val="007E52FD"/>
    <w:rsid w:val="007E6A2C"/>
    <w:rsid w:val="008E6A4D"/>
    <w:rsid w:val="00921333"/>
    <w:rsid w:val="009A4631"/>
    <w:rsid w:val="009B70F0"/>
    <w:rsid w:val="009C52FD"/>
    <w:rsid w:val="009E4395"/>
    <w:rsid w:val="00A0021B"/>
    <w:rsid w:val="00A45455"/>
    <w:rsid w:val="00AF67D9"/>
    <w:rsid w:val="00B073F9"/>
    <w:rsid w:val="00B077CF"/>
    <w:rsid w:val="00B56D0B"/>
    <w:rsid w:val="00BB5F22"/>
    <w:rsid w:val="00BD4E0F"/>
    <w:rsid w:val="00BD7D1B"/>
    <w:rsid w:val="00BF2536"/>
    <w:rsid w:val="00BF6AF6"/>
    <w:rsid w:val="00C45097"/>
    <w:rsid w:val="00D01B59"/>
    <w:rsid w:val="00D27AD7"/>
    <w:rsid w:val="00D474D7"/>
    <w:rsid w:val="00E97ACC"/>
    <w:rsid w:val="00EB0002"/>
    <w:rsid w:val="00EF36C0"/>
    <w:rsid w:val="00F10723"/>
    <w:rsid w:val="00F51210"/>
    <w:rsid w:val="00F87D49"/>
    <w:rsid w:val="00F9675E"/>
    <w:rsid w:val="00FA78A9"/>
    <w:rsid w:val="00FA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2017-09-22T04:33:00Z</dcterms:created>
  <dcterms:modified xsi:type="dcterms:W3CDTF">2017-11-21T06:23:00Z</dcterms:modified>
</cp:coreProperties>
</file>